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1604" w:rsidRPr="00AC1604" w:rsidTr="00125F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1604" w:rsidRPr="00AC1604" w:rsidRDefault="00AC1604" w:rsidP="00AC16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160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C1604" w:rsidRPr="00AC1604" w:rsidTr="00125F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1604" w:rsidRPr="00AC1604" w:rsidRDefault="00AC1604" w:rsidP="00AC16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C160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C160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C1604" w:rsidRPr="00AC1604" w:rsidTr="00125F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C1604" w:rsidRPr="00AC1604" w:rsidRDefault="00AC1604" w:rsidP="00AC160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AC16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AC160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C1604" w:rsidRPr="00AC1604" w:rsidRDefault="00AC1604" w:rsidP="00AC16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C160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518</w:t>
            </w:r>
            <w:r w:rsidRPr="00AC160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16CDA" w:rsidRDefault="00C16CDA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C50D18" w:rsidRPr="00417DF5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C50D18" w:rsidRPr="00417DF5" w:rsidRDefault="00C50D18" w:rsidP="00726B9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D18" w:rsidRPr="00417DF5" w:rsidRDefault="00C50D18" w:rsidP="00C16C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6CDA" w:rsidRPr="00417DF5" w:rsidRDefault="00C16CDA" w:rsidP="00C16C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7DF5" w:rsidRPr="00417DF5" w:rsidRDefault="00417DF5" w:rsidP="00417DF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ar58"/>
      <w:bookmarkEnd w:id="1"/>
      <w:r w:rsidRPr="00417DF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17DF5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27.12.2019 № 784-П</w:t>
      </w:r>
      <w:r w:rsidRPr="00417DF5">
        <w:rPr>
          <w:rFonts w:ascii="PT Astra Serif" w:hAnsi="PT Astra Serif"/>
          <w:sz w:val="28"/>
          <w:szCs w:val="28"/>
        </w:rPr>
        <w:br/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17DF5">
        <w:rPr>
          <w:rFonts w:ascii="PT Astra Serif" w:hAnsi="PT Astra Serif"/>
          <w:sz w:val="28"/>
          <w:szCs w:val="28"/>
        </w:rPr>
        <w:t>п</w:t>
      </w:r>
      <w:proofErr w:type="gramEnd"/>
      <w:r w:rsidRPr="00417DF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417DF5">
        <w:rPr>
          <w:rFonts w:ascii="PT Astra Serif" w:hAnsi="PT Astra Serif"/>
          <w:sz w:val="28"/>
          <w:szCs w:val="28"/>
        </w:rPr>
        <w:t>от 27.12.2019 № 784-П «О мерах по повышению эффективности деятельности хозяйственных обществ, в уставных капиталах которых доля участия Ульяновской области превышает 50 процентов» следующие изменения: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/>
          <w:sz w:val="28"/>
          <w:szCs w:val="28"/>
        </w:rPr>
        <w:t>1) в наименовании слова «</w:t>
      </w:r>
      <w:r w:rsidRPr="00417DF5">
        <w:rPr>
          <w:rFonts w:ascii="PT Astra Serif" w:hAnsi="PT Astra Serif"/>
          <w:b/>
          <w:sz w:val="28"/>
          <w:szCs w:val="28"/>
        </w:rPr>
        <w:t>мерах по повышению</w:t>
      </w:r>
      <w:r w:rsidRPr="00417DF5">
        <w:rPr>
          <w:rFonts w:ascii="PT Astra Serif" w:hAnsi="PT Astra Serif"/>
          <w:sz w:val="28"/>
          <w:szCs w:val="28"/>
        </w:rPr>
        <w:t>» заменить словами «</w:t>
      </w:r>
      <w:r w:rsidRPr="00417DF5">
        <w:rPr>
          <w:rFonts w:ascii="PT Astra Serif" w:hAnsi="PT Astra Serif"/>
          <w:b/>
          <w:sz w:val="28"/>
          <w:szCs w:val="28"/>
        </w:rPr>
        <w:t>некоторых мерах, направленных на повышение</w:t>
      </w:r>
      <w:r w:rsidRPr="00417DF5">
        <w:rPr>
          <w:rFonts w:ascii="PT Astra Serif" w:hAnsi="PT Astra Serif"/>
          <w:sz w:val="28"/>
          <w:szCs w:val="28"/>
        </w:rPr>
        <w:t>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/>
          <w:sz w:val="28"/>
          <w:szCs w:val="28"/>
        </w:rPr>
        <w:t>2) в пункте 1 слово «формированию» заменить словами «вопросам формирования»;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/>
          <w:sz w:val="28"/>
          <w:szCs w:val="28"/>
        </w:rPr>
        <w:t>3) в абзаце первом пункта 2 слова «в отношении» исключить;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/>
          <w:sz w:val="28"/>
          <w:szCs w:val="28"/>
        </w:rPr>
        <w:t xml:space="preserve">4) в </w:t>
      </w:r>
      <w:r w:rsidRPr="00417DF5">
        <w:rPr>
          <w:rFonts w:ascii="PT Astra Serif" w:hAnsi="PT Astra Serif" w:cs="PT Astra Serif"/>
          <w:sz w:val="28"/>
          <w:szCs w:val="28"/>
        </w:rPr>
        <w:t xml:space="preserve">Методических рекомендациях по формированию ключевых показателей эффективности деятельности хозяйственных обществ, в уставных капиталах которых доля участия Ульяновской области превышает </w:t>
      </w:r>
      <w:r>
        <w:rPr>
          <w:rFonts w:ascii="PT Astra Serif" w:hAnsi="PT Astra Serif" w:cs="PT Astra Serif"/>
          <w:sz w:val="28"/>
          <w:szCs w:val="28"/>
        </w:rPr>
        <w:br/>
      </w:r>
      <w:r w:rsidRPr="00417DF5">
        <w:rPr>
          <w:rFonts w:ascii="PT Astra Serif" w:hAnsi="PT Astra Serif" w:cs="PT Astra Serif"/>
          <w:sz w:val="28"/>
          <w:szCs w:val="28"/>
        </w:rPr>
        <w:t>50 процентов: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 xml:space="preserve">а) в наименовании </w:t>
      </w:r>
      <w:r w:rsidRPr="00417DF5">
        <w:rPr>
          <w:rFonts w:ascii="PT Astra Serif" w:hAnsi="PT Astra Serif"/>
          <w:sz w:val="28"/>
          <w:szCs w:val="28"/>
        </w:rPr>
        <w:t>слово «</w:t>
      </w:r>
      <w:r w:rsidRPr="00230947">
        <w:rPr>
          <w:rFonts w:ascii="PT Astra Serif" w:hAnsi="PT Astra Serif"/>
          <w:b/>
          <w:sz w:val="28"/>
          <w:szCs w:val="28"/>
        </w:rPr>
        <w:t>формированию</w:t>
      </w:r>
      <w:r w:rsidRPr="00417DF5">
        <w:rPr>
          <w:rFonts w:ascii="PT Astra Serif" w:hAnsi="PT Astra Serif"/>
          <w:sz w:val="28"/>
          <w:szCs w:val="28"/>
        </w:rPr>
        <w:t>» заменить словами «</w:t>
      </w:r>
      <w:r w:rsidRPr="00230947">
        <w:rPr>
          <w:rFonts w:ascii="PT Astra Serif" w:hAnsi="PT Astra Serif"/>
          <w:b/>
          <w:sz w:val="28"/>
          <w:szCs w:val="28"/>
        </w:rPr>
        <w:t>вопросам формирования</w:t>
      </w:r>
      <w:r w:rsidRPr="00417DF5">
        <w:rPr>
          <w:rFonts w:ascii="PT Astra Serif" w:hAnsi="PT Astra Serif"/>
          <w:sz w:val="28"/>
          <w:szCs w:val="28"/>
        </w:rPr>
        <w:t>»;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б) пункт 1 изложить в следующей редакции: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 xml:space="preserve">«1. Настоящие </w:t>
      </w:r>
      <w:r w:rsidR="00230947">
        <w:rPr>
          <w:rFonts w:ascii="PT Astra Serif" w:hAnsi="PT Astra Serif" w:cs="PT Astra Serif"/>
          <w:sz w:val="28"/>
          <w:szCs w:val="28"/>
        </w:rPr>
        <w:t>М</w:t>
      </w:r>
      <w:r w:rsidRPr="00417DF5">
        <w:rPr>
          <w:rFonts w:ascii="PT Astra Serif" w:hAnsi="PT Astra Serif" w:cs="PT Astra Serif"/>
          <w:sz w:val="28"/>
          <w:szCs w:val="28"/>
        </w:rPr>
        <w:t xml:space="preserve">етодические рекомендации предназначены для оказания исполнительным органам Ульяновской области, наделённым полномочиями </w:t>
      </w:r>
      <w:r>
        <w:rPr>
          <w:rFonts w:ascii="PT Astra Serif" w:hAnsi="PT Astra Serif" w:cs="PT Astra Serif"/>
          <w:sz w:val="28"/>
          <w:szCs w:val="28"/>
        </w:rPr>
        <w:br/>
      </w:r>
      <w:r w:rsidRPr="00417DF5">
        <w:rPr>
          <w:rFonts w:ascii="PT Astra Serif" w:hAnsi="PT Astra Serif" w:cs="PT Astra Serif"/>
          <w:sz w:val="28"/>
          <w:szCs w:val="28"/>
        </w:rPr>
        <w:t xml:space="preserve">по осуществлению прав акционера (участника) хозяйственных обществ, </w:t>
      </w:r>
      <w:r>
        <w:rPr>
          <w:rFonts w:ascii="PT Astra Serif" w:hAnsi="PT Astra Serif" w:cs="PT Astra Serif"/>
          <w:sz w:val="28"/>
          <w:szCs w:val="28"/>
        </w:rPr>
        <w:br/>
      </w:r>
      <w:r w:rsidRPr="00417DF5">
        <w:rPr>
          <w:rFonts w:ascii="PT Astra Serif" w:hAnsi="PT Astra Serif" w:cs="PT Astra Serif"/>
          <w:sz w:val="28"/>
          <w:szCs w:val="28"/>
        </w:rPr>
        <w:t>в уставных капиталах которых доля участия Ульяновской области превышает 50 процентов (далее – общества), содействия в формировании и применении ключевых показателей эффективности деятельности обществ</w:t>
      </w:r>
      <w:proofErr w:type="gramStart"/>
      <w:r w:rsidRPr="00417DF5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в) в пункте 2: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абзац четвёртый дополнить словом «общества»;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 абзаце шестом слово «показателя» заменить словом «КПЭ»;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г) в пункте 3: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 подпункте 3.1: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 xml:space="preserve">в абзаце первом слова «не более 7 единиц» заменить словами </w:t>
      </w:r>
      <w:r>
        <w:rPr>
          <w:rFonts w:ascii="PT Astra Serif" w:hAnsi="PT Astra Serif" w:cs="PT Astra Serif"/>
          <w:sz w:val="28"/>
          <w:szCs w:val="28"/>
        </w:rPr>
        <w:br/>
      </w:r>
      <w:r w:rsidRPr="00417DF5">
        <w:rPr>
          <w:rFonts w:ascii="PT Astra Serif" w:hAnsi="PT Astra Serif" w:cs="PT Astra Serif"/>
          <w:sz w:val="28"/>
          <w:szCs w:val="28"/>
        </w:rPr>
        <w:t>«, не превышающем 7»;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lastRenderedPageBreak/>
        <w:t>таблицу изложить в следующей редакции: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«</w:t>
      </w:r>
      <w:r w:rsidRPr="00417DF5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17DF5">
        <w:rPr>
          <w:rFonts w:ascii="PT Astra Serif" w:hAnsi="PT Astra Serif" w:cs="PT Astra Serif"/>
          <w:b/>
          <w:sz w:val="28"/>
          <w:szCs w:val="28"/>
        </w:rPr>
        <w:t>финансово-экономических КПЭ</w:t>
      </w:r>
    </w:p>
    <w:p w:rsidR="00417DF5" w:rsidRPr="00417DF5" w:rsidRDefault="00417DF5" w:rsidP="00417DF5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36"/>
        <w:gridCol w:w="4562"/>
        <w:gridCol w:w="1670"/>
        <w:gridCol w:w="434"/>
      </w:tblGrid>
      <w:tr w:rsidR="00417DF5" w:rsidRPr="00417DF5" w:rsidTr="00230947">
        <w:tc>
          <w:tcPr>
            <w:tcW w:w="2592" w:type="dxa"/>
            <w:vAlign w:val="center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Тип КПЭ</w:t>
            </w:r>
          </w:p>
        </w:tc>
        <w:tc>
          <w:tcPr>
            <w:tcW w:w="636" w:type="dxa"/>
            <w:vAlign w:val="center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№</w:t>
            </w:r>
          </w:p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417DF5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gramEnd"/>
            <w:r w:rsidRPr="00417DF5">
              <w:rPr>
                <w:rFonts w:ascii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4562" w:type="dxa"/>
            <w:vAlign w:val="center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Наименование КПЭ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417DF5" w:rsidRPr="00417DF5" w:rsidRDefault="00417DF5" w:rsidP="00230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Вес КПЭ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 w:val="restart"/>
          </w:tcPr>
          <w:p w:rsidR="00417DF5" w:rsidRPr="00417DF5" w:rsidRDefault="00230947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  <w:r w:rsidR="0015257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Рекомендуемые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К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ПЭ</w:t>
            </w:r>
          </w:p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1.1.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Уровень рентабельности продаж согласно показателю «Размер пр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 xml:space="preserve">были до вычета» </w:t>
            </w:r>
          </w:p>
        </w:tc>
        <w:tc>
          <w:tcPr>
            <w:tcW w:w="1670" w:type="dxa"/>
            <w:vMerge w:val="restart"/>
            <w:tcBorders>
              <w:right w:val="single" w:sz="4" w:space="0" w:color="auto"/>
            </w:tcBorders>
          </w:tcPr>
          <w:p w:rsidR="00666283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 xml:space="preserve">Не менее </w:t>
            </w:r>
          </w:p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15 проце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тов</w:t>
            </w:r>
          </w:p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1.2.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Коэффициент рентабельности и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вестированного капитала, коэфф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циент рентабельности собственного капитала (органами управления общества выбирается один из ук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занных КПЭ, а также устанавлив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ется его целевое значение)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 w:val="restart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 КПЭ, которые предусматриваются по усмотрению о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гана управления общества</w:t>
            </w: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2.1.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Динамика значения показателя «Размер прибыли до вычета» (ув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личение значения данного КПЭ)</w:t>
            </w:r>
          </w:p>
        </w:tc>
        <w:tc>
          <w:tcPr>
            <w:tcW w:w="1670" w:type="dxa"/>
            <w:vMerge w:val="restart"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На усмо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рение орг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на управл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ния общ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ства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2.2</w:t>
            </w:r>
            <w:r w:rsidR="00230947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Уровень рентабельности согласно показателю «Размер прибыли</w:t>
            </w:r>
            <w:r w:rsidR="00230947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7476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до вычета» (увеличение значения данного КПЭ в сравнении с его средними значениями за три п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 xml:space="preserve">следних года) 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2.3.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Динамика размера удельной выру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ки (за вычетом нерегулярных с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ставляющих) за год из расчёта</w:t>
            </w:r>
            <w:r w:rsidR="00230947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7476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на одного работника общества (увеличение значения данного КПЭ по отношению к предыдущему г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ду)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2.4.</w:t>
            </w:r>
          </w:p>
        </w:tc>
        <w:tc>
          <w:tcPr>
            <w:tcW w:w="4562" w:type="dxa"/>
          </w:tcPr>
          <w:p w:rsidR="00417DF5" w:rsidRPr="00417DF5" w:rsidRDefault="00574763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Сокращение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 xml:space="preserve"> объёма затрат</w:t>
            </w:r>
            <w:r w:rsidR="00230947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на пр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 xml:space="preserve">обретение товаров (работ, услуг)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на единицу производимой проду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ции (выполняемых работ, оказыв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417DF5" w:rsidRPr="00417DF5">
              <w:rPr>
                <w:rFonts w:ascii="PT Astra Serif" w:hAnsi="PT Astra Serif" w:cs="PT Astra Serif"/>
                <w:sz w:val="28"/>
                <w:szCs w:val="28"/>
              </w:rPr>
              <w:t>емых услуг)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2.5.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Отношение объёма капитальных вложений к величине чистого д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нежного потока от операционной деятельности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rPr>
          <w:cantSplit/>
        </w:trPr>
        <w:tc>
          <w:tcPr>
            <w:tcW w:w="2592" w:type="dxa"/>
            <w:vMerge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66628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2.6.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Отношение объёма капитальных вложений к величине начисленной амортизации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 xml:space="preserve">2.7. </w:t>
            </w:r>
          </w:p>
        </w:tc>
        <w:tc>
          <w:tcPr>
            <w:tcW w:w="4562" w:type="dxa"/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Доля закупок товаров, работ, услуг, осуществлённых конкурентными способами, в общем объёме закупок товаров, работ, услуг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2.8.</w:t>
            </w:r>
          </w:p>
        </w:tc>
        <w:tc>
          <w:tcPr>
            <w:tcW w:w="4562" w:type="dxa"/>
          </w:tcPr>
          <w:p w:rsidR="00417DF5" w:rsidRPr="00417DF5" w:rsidRDefault="00417DF5" w:rsidP="00666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Доля непрофильных активов в о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417DF5">
              <w:rPr>
                <w:rFonts w:ascii="PT Astra Serif" w:hAnsi="PT Astra Serif" w:cs="PT Astra Serif"/>
                <w:sz w:val="28"/>
                <w:szCs w:val="28"/>
              </w:rPr>
              <w:t>щем объёме активов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17DF5" w:rsidRPr="00417DF5" w:rsidTr="00230947">
        <w:tc>
          <w:tcPr>
            <w:tcW w:w="2592" w:type="dxa"/>
            <w:vMerge/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36" w:type="dxa"/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2.9.</w:t>
            </w:r>
          </w:p>
        </w:tc>
        <w:tc>
          <w:tcPr>
            <w:tcW w:w="4562" w:type="dxa"/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Дополнительный КПЭ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417DF5" w:rsidRPr="00417DF5" w:rsidRDefault="00417DF5" w:rsidP="008D11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5" w:rsidRPr="00417DF5" w:rsidRDefault="00417DF5" w:rsidP="008D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17DF5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230947" w:rsidRDefault="00230947" w:rsidP="00417DF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 xml:space="preserve">в абзаце первом подпункта 3.2 слова «политику государства </w:t>
      </w:r>
      <w:r>
        <w:rPr>
          <w:rFonts w:ascii="PT Astra Serif" w:hAnsi="PT Astra Serif" w:cs="PT Astra Serif"/>
          <w:sz w:val="28"/>
          <w:szCs w:val="28"/>
        </w:rPr>
        <w:br/>
      </w:r>
      <w:r w:rsidRPr="00417DF5">
        <w:rPr>
          <w:rFonts w:ascii="PT Astra Serif" w:hAnsi="PT Astra Serif" w:cs="PT Astra Serif"/>
          <w:sz w:val="28"/>
          <w:szCs w:val="28"/>
        </w:rPr>
        <w:t>в отношении» заменить словами «государственную политику в сфере»;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 подпункте 3.3:</w:t>
      </w:r>
    </w:p>
    <w:p w:rsid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 xml:space="preserve">абзац первый после слова «показатели» дополнить словами                                «, используемые для», после слова «общества» дополнить словами «(далее – показатели </w:t>
      </w:r>
      <w:proofErr w:type="spellStart"/>
      <w:r w:rsidRPr="00417DF5">
        <w:rPr>
          <w:rFonts w:ascii="PT Astra Serif" w:hAnsi="PT Astra Serif" w:cs="PT Astra Serif"/>
          <w:sz w:val="28"/>
          <w:szCs w:val="28"/>
        </w:rPr>
        <w:t>депремирования</w:t>
      </w:r>
      <w:proofErr w:type="spellEnd"/>
      <w:r w:rsidRPr="00417DF5">
        <w:rPr>
          <w:rFonts w:ascii="PT Astra Serif" w:hAnsi="PT Astra Serif" w:cs="PT Astra Serif"/>
          <w:sz w:val="28"/>
          <w:szCs w:val="28"/>
        </w:rPr>
        <w:t>)»;</w:t>
      </w:r>
    </w:p>
    <w:p w:rsidR="00574763" w:rsidRPr="00417DF5" w:rsidRDefault="007F5A32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абзацах</w:t>
      </w:r>
      <w:r w:rsidR="00574763">
        <w:rPr>
          <w:rFonts w:ascii="PT Astra Serif" w:hAnsi="PT Astra Serif" w:cs="PT Astra Serif"/>
          <w:sz w:val="28"/>
          <w:szCs w:val="28"/>
        </w:rPr>
        <w:t xml:space="preserve"> втором</w:t>
      </w:r>
      <w:r w:rsidR="000742E7">
        <w:rPr>
          <w:rFonts w:ascii="PT Astra Serif" w:hAnsi="PT Astra Serif" w:cs="PT Astra Serif"/>
          <w:sz w:val="28"/>
          <w:szCs w:val="28"/>
        </w:rPr>
        <w:t xml:space="preserve"> и</w:t>
      </w:r>
      <w:r w:rsidR="00574763">
        <w:rPr>
          <w:rFonts w:ascii="PT Astra Serif" w:hAnsi="PT Astra Serif" w:cs="PT Astra Serif"/>
          <w:sz w:val="28"/>
          <w:szCs w:val="28"/>
        </w:rPr>
        <w:t xml:space="preserve"> третьем слова «руководящего состава общества» </w:t>
      </w:r>
      <w:r w:rsidR="00666283">
        <w:rPr>
          <w:rFonts w:ascii="PT Astra Serif" w:hAnsi="PT Astra Serif" w:cs="PT Astra Serif"/>
          <w:sz w:val="28"/>
          <w:szCs w:val="28"/>
        </w:rPr>
        <w:br/>
      </w:r>
      <w:r w:rsidR="00574763">
        <w:rPr>
          <w:rFonts w:ascii="PT Astra Serif" w:hAnsi="PT Astra Serif" w:cs="PT Astra Serif"/>
          <w:sz w:val="28"/>
          <w:szCs w:val="28"/>
        </w:rPr>
        <w:t xml:space="preserve">исключить; 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 абзаце четвёртом слово «убыток» заменить словами «наличие убытка»;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 абзаце шестом слова «заработной плате перед работниками» заменить слова</w:t>
      </w:r>
      <w:r w:rsidR="00574763">
        <w:rPr>
          <w:rFonts w:ascii="PT Astra Serif" w:hAnsi="PT Astra Serif" w:cs="PT Astra Serif"/>
          <w:sz w:val="28"/>
          <w:szCs w:val="28"/>
        </w:rPr>
        <w:t>ми</w:t>
      </w:r>
      <w:r w:rsidRPr="00417DF5">
        <w:rPr>
          <w:rFonts w:ascii="PT Astra Serif" w:hAnsi="PT Astra Serif" w:cs="PT Astra Serif"/>
          <w:sz w:val="28"/>
          <w:szCs w:val="28"/>
        </w:rPr>
        <w:t xml:space="preserve"> «выплате заработной платы работникам»;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абзац седьмой после слов «обществ</w:t>
      </w:r>
      <w:r w:rsidR="007F5A32">
        <w:rPr>
          <w:rFonts w:ascii="PT Astra Serif" w:hAnsi="PT Astra Serif" w:cs="PT Astra Serif"/>
          <w:sz w:val="28"/>
          <w:szCs w:val="28"/>
        </w:rPr>
        <w:t>а к» дополнить словом «размеру»</w:t>
      </w:r>
      <w:r w:rsidRPr="00417DF5">
        <w:rPr>
          <w:rFonts w:ascii="PT Astra Serif" w:hAnsi="PT Astra Serif" w:cs="PT Astra Serif"/>
          <w:sz w:val="28"/>
          <w:szCs w:val="28"/>
        </w:rPr>
        <w:t xml:space="preserve"> </w:t>
      </w:r>
      <w:r w:rsidR="00230947">
        <w:rPr>
          <w:rFonts w:ascii="PT Astra Serif" w:hAnsi="PT Astra Serif" w:cs="PT Astra Serif"/>
          <w:sz w:val="28"/>
          <w:szCs w:val="28"/>
        </w:rPr>
        <w:br/>
        <w:t xml:space="preserve">и в нём </w:t>
      </w:r>
      <w:r w:rsidRPr="00417DF5">
        <w:rPr>
          <w:rFonts w:ascii="PT Astra Serif" w:hAnsi="PT Astra Serif" w:cs="PT Astra Serif"/>
          <w:sz w:val="28"/>
          <w:szCs w:val="28"/>
        </w:rPr>
        <w:t>слова «налоговых и процентных платежей и» заменить словами «налогов</w:t>
      </w:r>
      <w:r w:rsidR="00230947">
        <w:rPr>
          <w:rFonts w:ascii="PT Astra Serif" w:hAnsi="PT Astra Serif" w:cs="PT Astra Serif"/>
          <w:sz w:val="28"/>
          <w:szCs w:val="28"/>
        </w:rPr>
        <w:t xml:space="preserve"> </w:t>
      </w:r>
      <w:r w:rsidRPr="00417DF5">
        <w:rPr>
          <w:rFonts w:ascii="PT Astra Serif" w:hAnsi="PT Astra Serif" w:cs="PT Astra Serif"/>
          <w:sz w:val="28"/>
          <w:szCs w:val="28"/>
        </w:rPr>
        <w:t>и иных обязательных платежей, а также»;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в абзаце восьмом слова «значения отношения» заменить словами «размера отношения значения», слова «показателю «Прибыль до вычета» заменить словами «значению показателя «Размер прибыли до вычета»;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 xml:space="preserve">в абзаце девятом слова </w:t>
      </w:r>
      <w:r w:rsidR="000742E7">
        <w:rPr>
          <w:rFonts w:ascii="PT Astra Serif" w:hAnsi="PT Astra Serif" w:cs="PT Astra Serif"/>
          <w:sz w:val="28"/>
          <w:szCs w:val="28"/>
        </w:rPr>
        <w:t>«руководящего состава общества»</w:t>
      </w:r>
      <w:r w:rsidR="000742E7" w:rsidRPr="00417DF5">
        <w:rPr>
          <w:rFonts w:ascii="PT Astra Serif" w:hAnsi="PT Astra Serif" w:cs="PT Astra Serif"/>
          <w:sz w:val="28"/>
          <w:szCs w:val="28"/>
        </w:rPr>
        <w:t xml:space="preserve"> </w:t>
      </w:r>
      <w:r w:rsidR="000742E7">
        <w:rPr>
          <w:rFonts w:ascii="PT Astra Serif" w:hAnsi="PT Astra Serif" w:cs="PT Astra Serif"/>
          <w:sz w:val="28"/>
          <w:szCs w:val="28"/>
        </w:rPr>
        <w:t xml:space="preserve">исключить, слова </w:t>
      </w:r>
      <w:r w:rsidRPr="00417DF5">
        <w:rPr>
          <w:rFonts w:ascii="PT Astra Serif" w:hAnsi="PT Astra Serif" w:cs="PT Astra Serif"/>
          <w:sz w:val="28"/>
          <w:szCs w:val="28"/>
        </w:rPr>
        <w:t>«целевое значение» заменить словами «целевые значения»;</w:t>
      </w:r>
    </w:p>
    <w:p w:rsidR="00417DF5" w:rsidRPr="00417DF5" w:rsidRDefault="00417DF5" w:rsidP="00666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 w:cs="PT Astra Serif"/>
          <w:sz w:val="28"/>
          <w:szCs w:val="28"/>
        </w:rPr>
        <w:t>дополнить подпунктом 3.4 следующего содержания:</w:t>
      </w:r>
      <w:r w:rsidRPr="00417DF5">
        <w:rPr>
          <w:rFonts w:ascii="PT Astra Serif" w:hAnsi="PT Astra Serif"/>
          <w:sz w:val="28"/>
          <w:szCs w:val="28"/>
        </w:rPr>
        <w:t xml:space="preserve"> </w:t>
      </w:r>
    </w:p>
    <w:p w:rsidR="00417DF5" w:rsidRPr="00417DF5" w:rsidRDefault="00417DF5" w:rsidP="006662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17DF5">
        <w:rPr>
          <w:rFonts w:ascii="PT Astra Serif" w:hAnsi="PT Astra Serif"/>
          <w:sz w:val="28"/>
          <w:szCs w:val="28"/>
        </w:rPr>
        <w:t>«3.4. Также рекомендуется</w:t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устанавливать минимальное значение каждого КПЭ, равное не менее 80 процентов их целевых значений, и предельное значение каждого КПЭ, равное не более 120 процентов их целевых значений, которые учитываются при рассмотрении вопросов выплаты вознаграждения руководящ</w:t>
      </w:r>
      <w:r w:rsidR="00152579">
        <w:rPr>
          <w:rFonts w:ascii="PT Astra Serif" w:eastAsia="Calibri" w:hAnsi="PT Astra Serif" w:cs="PT Astra Serif"/>
          <w:sz w:val="28"/>
          <w:szCs w:val="28"/>
          <w:lang w:eastAsia="en-US"/>
        </w:rPr>
        <w:t>ему составу общества. Фактически</w:t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дости</w:t>
      </w:r>
      <w:r w:rsidR="00574763">
        <w:rPr>
          <w:rFonts w:ascii="PT Astra Serif" w:eastAsia="Calibri" w:hAnsi="PT Astra Serif" w:cs="PT Astra Serif"/>
          <w:sz w:val="28"/>
          <w:szCs w:val="28"/>
          <w:lang w:eastAsia="en-US"/>
        </w:rPr>
        <w:t>гнут</w:t>
      </w:r>
      <w:r w:rsidR="00152579">
        <w:rPr>
          <w:rFonts w:ascii="PT Astra Serif" w:eastAsia="Calibri" w:hAnsi="PT Astra Serif" w:cs="PT Astra Serif"/>
          <w:sz w:val="28"/>
          <w:szCs w:val="28"/>
          <w:lang w:eastAsia="en-US"/>
        </w:rPr>
        <w:t>ое</w:t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значени</w:t>
      </w:r>
      <w:r w:rsidR="00152579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КПЭ, предусмотренн</w:t>
      </w:r>
      <w:r w:rsidR="00152579">
        <w:rPr>
          <w:rFonts w:ascii="PT Astra Serif" w:eastAsia="Calibri" w:hAnsi="PT Astra Serif" w:cs="PT Astra Serif"/>
          <w:sz w:val="28"/>
          <w:szCs w:val="28"/>
          <w:lang w:eastAsia="en-US"/>
        </w:rPr>
        <w:t>ое</w:t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подпунктом 3.1 настоящ</w:t>
      </w:r>
      <w:r w:rsidR="00574763">
        <w:rPr>
          <w:rFonts w:ascii="PT Astra Serif" w:eastAsia="Calibri" w:hAnsi="PT Astra Serif" w:cs="PT Astra Serif"/>
          <w:sz w:val="28"/>
          <w:szCs w:val="28"/>
          <w:lang w:eastAsia="en-US"/>
        </w:rPr>
        <w:t>его пункта</w:t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принимает нулевое значение в случае, если оно ниже установленного минимального значения, </w:t>
      </w:r>
      <w:r w:rsidR="0066628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>и предельное значение – в случае, если оно выше установленного предельного значения</w:t>
      </w:r>
      <w:proofErr w:type="gramStart"/>
      <w:r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417DF5" w:rsidRPr="00417DF5" w:rsidRDefault="00230947" w:rsidP="006662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д</w:t>
      </w:r>
      <w:r w:rsidR="00417DF5"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9 слова «В основу» заменить словом «Для», слова «закладывать бухгалтерскую (финансовую) отчётность» заменить словами «использовать сведения, содержащиеся в бухгалтерской (финансовой) отчётности общества»;</w:t>
      </w:r>
      <w:proofErr w:type="gramEnd"/>
    </w:p>
    <w:p w:rsidR="00417DF5" w:rsidRPr="00417DF5" w:rsidRDefault="00230947" w:rsidP="006662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417DF5"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>) пункт 10 после слов «достоверности расчётов» дополнить слов</w:t>
      </w:r>
      <w:r w:rsidR="00152579">
        <w:rPr>
          <w:rFonts w:ascii="PT Astra Serif" w:eastAsia="Calibri" w:hAnsi="PT Astra Serif" w:cs="PT Astra Serif"/>
          <w:sz w:val="28"/>
          <w:szCs w:val="28"/>
          <w:lang w:eastAsia="en-US"/>
        </w:rPr>
        <w:t>ами</w:t>
      </w:r>
      <w:r w:rsidR="00417DF5"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«целе</w:t>
      </w:r>
      <w:r w:rsidR="00152579">
        <w:rPr>
          <w:rFonts w:ascii="PT Astra Serif" w:eastAsia="Calibri" w:hAnsi="PT Astra Serif" w:cs="PT Astra Serif"/>
          <w:sz w:val="28"/>
          <w:szCs w:val="28"/>
          <w:lang w:eastAsia="en-US"/>
        </w:rPr>
        <w:t>вых значений»</w:t>
      </w:r>
      <w:r w:rsidR="00417DF5"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в нём </w:t>
      </w:r>
      <w:r w:rsidR="00417DF5"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«представителей внутреннего и (или) внешнего аудита» заменить словами «лиц, осуществляющих внутренний </w:t>
      </w:r>
      <w:r w:rsidR="0066628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417DF5" w:rsidRPr="00417DF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(или) внешний аудит». </w:t>
      </w:r>
      <w:proofErr w:type="gramEnd"/>
    </w:p>
    <w:p w:rsidR="00417DF5" w:rsidRPr="00417DF5" w:rsidRDefault="00417DF5" w:rsidP="00417D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17DF5">
        <w:rPr>
          <w:rFonts w:ascii="PT Astra Serif" w:eastAsia="Calibri" w:hAnsi="PT Astra Serif"/>
          <w:sz w:val="28"/>
          <w:szCs w:val="28"/>
          <w:lang w:eastAsia="en-US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417DF5" w:rsidRPr="00417DF5" w:rsidRDefault="00417DF5" w:rsidP="00417D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17DF5" w:rsidRPr="00417DF5" w:rsidRDefault="00417DF5" w:rsidP="00417DF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17DF5" w:rsidRPr="00417DF5" w:rsidRDefault="00417DF5" w:rsidP="00417DF5">
      <w:pPr>
        <w:autoSpaceDE w:val="0"/>
        <w:autoSpaceDN w:val="0"/>
        <w:adjustRightInd w:val="0"/>
        <w:spacing w:line="252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17DF5" w:rsidRPr="00417DF5" w:rsidRDefault="00417DF5" w:rsidP="00417DF5">
      <w:pPr>
        <w:spacing w:line="252" w:lineRule="auto"/>
        <w:jc w:val="both"/>
        <w:rPr>
          <w:rFonts w:ascii="PT Astra Serif" w:hAnsi="PT Astra Serif"/>
          <w:bCs/>
          <w:sz w:val="28"/>
          <w:szCs w:val="28"/>
        </w:rPr>
      </w:pPr>
      <w:r w:rsidRPr="00417DF5">
        <w:rPr>
          <w:rFonts w:ascii="PT Astra Serif" w:hAnsi="PT Astra Serif"/>
          <w:bCs/>
          <w:sz w:val="28"/>
          <w:szCs w:val="28"/>
        </w:rPr>
        <w:t xml:space="preserve">Председатель </w:t>
      </w:r>
    </w:p>
    <w:p w:rsidR="00417DF5" w:rsidRPr="00417DF5" w:rsidRDefault="00417DF5" w:rsidP="00417DF5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417DF5">
        <w:rPr>
          <w:rFonts w:ascii="PT Astra Serif" w:hAnsi="PT Astra Serif"/>
          <w:bCs/>
          <w:sz w:val="28"/>
          <w:szCs w:val="28"/>
        </w:rPr>
        <w:t xml:space="preserve">Правительства области                            </w:t>
      </w:r>
      <w:r w:rsidR="00666283">
        <w:rPr>
          <w:rFonts w:ascii="PT Astra Serif" w:hAnsi="PT Astra Serif"/>
          <w:bCs/>
          <w:sz w:val="28"/>
          <w:szCs w:val="28"/>
        </w:rPr>
        <w:t xml:space="preserve"> </w:t>
      </w:r>
      <w:r w:rsidRPr="00417DF5">
        <w:rPr>
          <w:rFonts w:ascii="PT Astra Serif" w:hAnsi="PT Astra Serif"/>
          <w:bCs/>
          <w:sz w:val="28"/>
          <w:szCs w:val="28"/>
        </w:rPr>
        <w:t xml:space="preserve">                                             </w:t>
      </w:r>
      <w:proofErr w:type="spellStart"/>
      <w:r w:rsidRPr="00417DF5">
        <w:rPr>
          <w:rFonts w:ascii="PT Astra Serif" w:hAnsi="PT Astra Serif"/>
          <w:bCs/>
          <w:sz w:val="28"/>
          <w:szCs w:val="28"/>
        </w:rPr>
        <w:t>В.Н.Разумков</w:t>
      </w:r>
      <w:proofErr w:type="spellEnd"/>
    </w:p>
    <w:p w:rsidR="000535F7" w:rsidRPr="00417DF5" w:rsidRDefault="000535F7" w:rsidP="00417DF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0535F7" w:rsidRPr="00417DF5" w:rsidSect="0066628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FB" w:rsidRDefault="00E324FB" w:rsidP="00C16CDA">
      <w:r>
        <w:separator/>
      </w:r>
    </w:p>
  </w:endnote>
  <w:endnote w:type="continuationSeparator" w:id="0">
    <w:p w:rsidR="00E324FB" w:rsidRDefault="00E324FB" w:rsidP="00C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83" w:rsidRPr="00666283" w:rsidRDefault="00666283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FB" w:rsidRDefault="00E324FB" w:rsidP="00C16CDA">
      <w:r>
        <w:separator/>
      </w:r>
    </w:p>
  </w:footnote>
  <w:footnote w:type="continuationSeparator" w:id="0">
    <w:p w:rsidR="00E324FB" w:rsidRDefault="00E324FB" w:rsidP="00C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1700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30947" w:rsidRPr="00666283" w:rsidRDefault="00230947">
        <w:pPr>
          <w:pStyle w:val="a6"/>
          <w:jc w:val="center"/>
          <w:rPr>
            <w:rFonts w:ascii="PT Astra Serif" w:hAnsi="PT Astra Serif"/>
            <w:sz w:val="28"/>
          </w:rPr>
        </w:pPr>
        <w:r w:rsidRPr="00666283">
          <w:rPr>
            <w:rFonts w:ascii="PT Astra Serif" w:hAnsi="PT Astra Serif"/>
            <w:sz w:val="28"/>
          </w:rPr>
          <w:fldChar w:fldCharType="begin"/>
        </w:r>
        <w:r w:rsidRPr="00666283">
          <w:rPr>
            <w:rFonts w:ascii="PT Astra Serif" w:hAnsi="PT Astra Serif"/>
            <w:sz w:val="28"/>
          </w:rPr>
          <w:instrText>PAGE   \* MERGEFORMAT</w:instrText>
        </w:r>
        <w:r w:rsidRPr="00666283">
          <w:rPr>
            <w:rFonts w:ascii="PT Astra Serif" w:hAnsi="PT Astra Serif"/>
            <w:sz w:val="28"/>
          </w:rPr>
          <w:fldChar w:fldCharType="separate"/>
        </w:r>
        <w:r w:rsidR="00AC1604">
          <w:rPr>
            <w:rFonts w:ascii="PT Astra Serif" w:hAnsi="PT Astra Serif"/>
            <w:noProof/>
            <w:sz w:val="28"/>
          </w:rPr>
          <w:t>2</w:t>
        </w:r>
        <w:r w:rsidRPr="0066628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0C5"/>
    <w:multiLevelType w:val="singleLevel"/>
    <w:tmpl w:val="BDEA5286"/>
    <w:lvl w:ilvl="0">
      <w:start w:val="2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391F17BC"/>
    <w:multiLevelType w:val="singleLevel"/>
    <w:tmpl w:val="6018FD80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411D29D5"/>
    <w:multiLevelType w:val="singleLevel"/>
    <w:tmpl w:val="0C28D810"/>
    <w:lvl w:ilvl="0">
      <w:start w:val="7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4A393135"/>
    <w:multiLevelType w:val="singleLevel"/>
    <w:tmpl w:val="D6564294"/>
    <w:lvl w:ilvl="0">
      <w:start w:val="2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70233F91"/>
    <w:multiLevelType w:val="singleLevel"/>
    <w:tmpl w:val="A10E25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D"/>
    <w:rsid w:val="000009E2"/>
    <w:rsid w:val="00003CF0"/>
    <w:rsid w:val="00004C96"/>
    <w:rsid w:val="000073F6"/>
    <w:rsid w:val="00007403"/>
    <w:rsid w:val="0001485F"/>
    <w:rsid w:val="00021C5D"/>
    <w:rsid w:val="000239F3"/>
    <w:rsid w:val="00023B5F"/>
    <w:rsid w:val="00026416"/>
    <w:rsid w:val="00026C01"/>
    <w:rsid w:val="000320E5"/>
    <w:rsid w:val="000346EF"/>
    <w:rsid w:val="00042061"/>
    <w:rsid w:val="00047F9F"/>
    <w:rsid w:val="0005007F"/>
    <w:rsid w:val="00050DCD"/>
    <w:rsid w:val="000535F7"/>
    <w:rsid w:val="00057CB2"/>
    <w:rsid w:val="00060AFE"/>
    <w:rsid w:val="000646FE"/>
    <w:rsid w:val="00065302"/>
    <w:rsid w:val="00067875"/>
    <w:rsid w:val="00070EA6"/>
    <w:rsid w:val="000742E7"/>
    <w:rsid w:val="00074EAA"/>
    <w:rsid w:val="000755F9"/>
    <w:rsid w:val="00082A13"/>
    <w:rsid w:val="00082F90"/>
    <w:rsid w:val="00086939"/>
    <w:rsid w:val="00087A3C"/>
    <w:rsid w:val="00091B44"/>
    <w:rsid w:val="00092DD6"/>
    <w:rsid w:val="000A4E0C"/>
    <w:rsid w:val="000A5248"/>
    <w:rsid w:val="000A5E9E"/>
    <w:rsid w:val="000A6B7D"/>
    <w:rsid w:val="000A6CC1"/>
    <w:rsid w:val="000A751D"/>
    <w:rsid w:val="000C2B1E"/>
    <w:rsid w:val="000C3623"/>
    <w:rsid w:val="000C68F3"/>
    <w:rsid w:val="000E1C91"/>
    <w:rsid w:val="000E4DAA"/>
    <w:rsid w:val="000F0B5C"/>
    <w:rsid w:val="000F64FF"/>
    <w:rsid w:val="000F6629"/>
    <w:rsid w:val="000F7F7C"/>
    <w:rsid w:val="00102AEC"/>
    <w:rsid w:val="0010432F"/>
    <w:rsid w:val="00104F90"/>
    <w:rsid w:val="00112C51"/>
    <w:rsid w:val="00112CF3"/>
    <w:rsid w:val="00113959"/>
    <w:rsid w:val="00117596"/>
    <w:rsid w:val="001235AE"/>
    <w:rsid w:val="0013065E"/>
    <w:rsid w:val="00130754"/>
    <w:rsid w:val="00131B0F"/>
    <w:rsid w:val="00132586"/>
    <w:rsid w:val="001326F2"/>
    <w:rsid w:val="00142FDA"/>
    <w:rsid w:val="00143405"/>
    <w:rsid w:val="00147D94"/>
    <w:rsid w:val="00150B09"/>
    <w:rsid w:val="00150B39"/>
    <w:rsid w:val="00152579"/>
    <w:rsid w:val="001541AA"/>
    <w:rsid w:val="001551B9"/>
    <w:rsid w:val="00156F2A"/>
    <w:rsid w:val="00166849"/>
    <w:rsid w:val="00171FD0"/>
    <w:rsid w:val="00177867"/>
    <w:rsid w:val="0018293B"/>
    <w:rsid w:val="00187576"/>
    <w:rsid w:val="00190647"/>
    <w:rsid w:val="00191AE8"/>
    <w:rsid w:val="0019774B"/>
    <w:rsid w:val="001A5646"/>
    <w:rsid w:val="001B4588"/>
    <w:rsid w:val="001B6D20"/>
    <w:rsid w:val="001C658A"/>
    <w:rsid w:val="001D190C"/>
    <w:rsid w:val="001E4FC7"/>
    <w:rsid w:val="001F0798"/>
    <w:rsid w:val="001F0C88"/>
    <w:rsid w:val="001F2CEF"/>
    <w:rsid w:val="001F39DF"/>
    <w:rsid w:val="001F6017"/>
    <w:rsid w:val="001F6553"/>
    <w:rsid w:val="0020063A"/>
    <w:rsid w:val="00210185"/>
    <w:rsid w:val="002145FE"/>
    <w:rsid w:val="0021541A"/>
    <w:rsid w:val="00217813"/>
    <w:rsid w:val="00222B70"/>
    <w:rsid w:val="00230638"/>
    <w:rsid w:val="00230947"/>
    <w:rsid w:val="002360D3"/>
    <w:rsid w:val="002361E0"/>
    <w:rsid w:val="00237C47"/>
    <w:rsid w:val="00237F2B"/>
    <w:rsid w:val="002405CE"/>
    <w:rsid w:val="00251997"/>
    <w:rsid w:val="00260DC7"/>
    <w:rsid w:val="00264B8C"/>
    <w:rsid w:val="00270A4A"/>
    <w:rsid w:val="002716F1"/>
    <w:rsid w:val="00281607"/>
    <w:rsid w:val="00282694"/>
    <w:rsid w:val="002864D5"/>
    <w:rsid w:val="00290F95"/>
    <w:rsid w:val="002928D4"/>
    <w:rsid w:val="0029419F"/>
    <w:rsid w:val="002A0606"/>
    <w:rsid w:val="002A1A97"/>
    <w:rsid w:val="002B041C"/>
    <w:rsid w:val="002B0A6A"/>
    <w:rsid w:val="002B118E"/>
    <w:rsid w:val="002B4005"/>
    <w:rsid w:val="002B4AC9"/>
    <w:rsid w:val="002B761A"/>
    <w:rsid w:val="002C08D6"/>
    <w:rsid w:val="002C0CD9"/>
    <w:rsid w:val="002C3617"/>
    <w:rsid w:val="002C3C7D"/>
    <w:rsid w:val="002C401B"/>
    <w:rsid w:val="002C7591"/>
    <w:rsid w:val="002E2D2F"/>
    <w:rsid w:val="002F5B22"/>
    <w:rsid w:val="002F6AE4"/>
    <w:rsid w:val="002F71C4"/>
    <w:rsid w:val="003037C0"/>
    <w:rsid w:val="00307889"/>
    <w:rsid w:val="00315039"/>
    <w:rsid w:val="00323D23"/>
    <w:rsid w:val="00326EA4"/>
    <w:rsid w:val="00333128"/>
    <w:rsid w:val="00342CB7"/>
    <w:rsid w:val="0034572C"/>
    <w:rsid w:val="003549AE"/>
    <w:rsid w:val="00356A0B"/>
    <w:rsid w:val="00361AB3"/>
    <w:rsid w:val="00375166"/>
    <w:rsid w:val="0037588B"/>
    <w:rsid w:val="003811F5"/>
    <w:rsid w:val="0038127A"/>
    <w:rsid w:val="00386388"/>
    <w:rsid w:val="00386BDE"/>
    <w:rsid w:val="00386C76"/>
    <w:rsid w:val="00386DC3"/>
    <w:rsid w:val="00391D86"/>
    <w:rsid w:val="00396129"/>
    <w:rsid w:val="00397D24"/>
    <w:rsid w:val="003A62BF"/>
    <w:rsid w:val="003B48AA"/>
    <w:rsid w:val="003C02CB"/>
    <w:rsid w:val="003D0434"/>
    <w:rsid w:val="003D7446"/>
    <w:rsid w:val="003E240A"/>
    <w:rsid w:val="003E4EDF"/>
    <w:rsid w:val="003E52C3"/>
    <w:rsid w:val="003E7087"/>
    <w:rsid w:val="003F06CF"/>
    <w:rsid w:val="003F22B6"/>
    <w:rsid w:val="003F3749"/>
    <w:rsid w:val="004001FF"/>
    <w:rsid w:val="00400A60"/>
    <w:rsid w:val="004013FB"/>
    <w:rsid w:val="004016E5"/>
    <w:rsid w:val="00401C95"/>
    <w:rsid w:val="00405E53"/>
    <w:rsid w:val="00410F91"/>
    <w:rsid w:val="0041399C"/>
    <w:rsid w:val="00417DE5"/>
    <w:rsid w:val="00417DF5"/>
    <w:rsid w:val="004227C7"/>
    <w:rsid w:val="00424C52"/>
    <w:rsid w:val="00425115"/>
    <w:rsid w:val="00426598"/>
    <w:rsid w:val="00431FC1"/>
    <w:rsid w:val="00445879"/>
    <w:rsid w:val="0044594D"/>
    <w:rsid w:val="004462EA"/>
    <w:rsid w:val="00452C27"/>
    <w:rsid w:val="00453A90"/>
    <w:rsid w:val="00454456"/>
    <w:rsid w:val="00455AB2"/>
    <w:rsid w:val="0046019A"/>
    <w:rsid w:val="00460D79"/>
    <w:rsid w:val="00461DDF"/>
    <w:rsid w:val="00463670"/>
    <w:rsid w:val="0047572C"/>
    <w:rsid w:val="00476D38"/>
    <w:rsid w:val="00487253"/>
    <w:rsid w:val="00490FEB"/>
    <w:rsid w:val="00492374"/>
    <w:rsid w:val="0049312F"/>
    <w:rsid w:val="00495D38"/>
    <w:rsid w:val="004A3547"/>
    <w:rsid w:val="004A6D99"/>
    <w:rsid w:val="004B413F"/>
    <w:rsid w:val="004B431B"/>
    <w:rsid w:val="004B750D"/>
    <w:rsid w:val="004C019A"/>
    <w:rsid w:val="004C0E76"/>
    <w:rsid w:val="004C1654"/>
    <w:rsid w:val="004C32E6"/>
    <w:rsid w:val="004D4C19"/>
    <w:rsid w:val="004D7934"/>
    <w:rsid w:val="004E4743"/>
    <w:rsid w:val="004E5B44"/>
    <w:rsid w:val="004F215D"/>
    <w:rsid w:val="004F2269"/>
    <w:rsid w:val="004F2F18"/>
    <w:rsid w:val="004F5F93"/>
    <w:rsid w:val="004F7351"/>
    <w:rsid w:val="004F7F21"/>
    <w:rsid w:val="0050558A"/>
    <w:rsid w:val="0051312F"/>
    <w:rsid w:val="005133C1"/>
    <w:rsid w:val="005262A9"/>
    <w:rsid w:val="00527E1A"/>
    <w:rsid w:val="00530BFB"/>
    <w:rsid w:val="005312E9"/>
    <w:rsid w:val="005408EE"/>
    <w:rsid w:val="005431E2"/>
    <w:rsid w:val="005468A1"/>
    <w:rsid w:val="005527F1"/>
    <w:rsid w:val="005623EA"/>
    <w:rsid w:val="0056268E"/>
    <w:rsid w:val="005626BC"/>
    <w:rsid w:val="005633E0"/>
    <w:rsid w:val="005639A7"/>
    <w:rsid w:val="00563F4D"/>
    <w:rsid w:val="00564C73"/>
    <w:rsid w:val="00566E7B"/>
    <w:rsid w:val="0057305E"/>
    <w:rsid w:val="0057374C"/>
    <w:rsid w:val="00574763"/>
    <w:rsid w:val="00576E2A"/>
    <w:rsid w:val="00593029"/>
    <w:rsid w:val="005956EB"/>
    <w:rsid w:val="00595B1E"/>
    <w:rsid w:val="005A2200"/>
    <w:rsid w:val="005A41DD"/>
    <w:rsid w:val="005A7C3D"/>
    <w:rsid w:val="005B377C"/>
    <w:rsid w:val="005B5D78"/>
    <w:rsid w:val="005C18AE"/>
    <w:rsid w:val="005C1C15"/>
    <w:rsid w:val="005C5845"/>
    <w:rsid w:val="005D617D"/>
    <w:rsid w:val="005E2E61"/>
    <w:rsid w:val="005F1424"/>
    <w:rsid w:val="005F1A18"/>
    <w:rsid w:val="005F6AC3"/>
    <w:rsid w:val="00601339"/>
    <w:rsid w:val="0060587D"/>
    <w:rsid w:val="00610F4F"/>
    <w:rsid w:val="00611AD7"/>
    <w:rsid w:val="0061324E"/>
    <w:rsid w:val="006169FB"/>
    <w:rsid w:val="00616BED"/>
    <w:rsid w:val="00624FFC"/>
    <w:rsid w:val="006316E3"/>
    <w:rsid w:val="0063301F"/>
    <w:rsid w:val="00640D53"/>
    <w:rsid w:val="006428CC"/>
    <w:rsid w:val="006507B3"/>
    <w:rsid w:val="00650DA0"/>
    <w:rsid w:val="0065486A"/>
    <w:rsid w:val="0066405D"/>
    <w:rsid w:val="006640FA"/>
    <w:rsid w:val="006648C5"/>
    <w:rsid w:val="00666283"/>
    <w:rsid w:val="00667B21"/>
    <w:rsid w:val="00674F27"/>
    <w:rsid w:val="00677BC0"/>
    <w:rsid w:val="0068314A"/>
    <w:rsid w:val="00687BCE"/>
    <w:rsid w:val="006921D9"/>
    <w:rsid w:val="00693761"/>
    <w:rsid w:val="00693F71"/>
    <w:rsid w:val="00694629"/>
    <w:rsid w:val="00695DE8"/>
    <w:rsid w:val="006B29C6"/>
    <w:rsid w:val="006B2F11"/>
    <w:rsid w:val="006B42AE"/>
    <w:rsid w:val="006C2A2B"/>
    <w:rsid w:val="006C3CF9"/>
    <w:rsid w:val="006C5085"/>
    <w:rsid w:val="006C753A"/>
    <w:rsid w:val="006C7BFC"/>
    <w:rsid w:val="006D02A4"/>
    <w:rsid w:val="006E371A"/>
    <w:rsid w:val="006E3B85"/>
    <w:rsid w:val="006E3C9F"/>
    <w:rsid w:val="006E4DEC"/>
    <w:rsid w:val="006E525E"/>
    <w:rsid w:val="006F10C4"/>
    <w:rsid w:val="006F46BD"/>
    <w:rsid w:val="006F7DD5"/>
    <w:rsid w:val="0070124C"/>
    <w:rsid w:val="007029C4"/>
    <w:rsid w:val="00704F68"/>
    <w:rsid w:val="007054B5"/>
    <w:rsid w:val="00705B26"/>
    <w:rsid w:val="00706616"/>
    <w:rsid w:val="00710FAD"/>
    <w:rsid w:val="007209FF"/>
    <w:rsid w:val="00720E7D"/>
    <w:rsid w:val="007249B1"/>
    <w:rsid w:val="007258C5"/>
    <w:rsid w:val="00726B91"/>
    <w:rsid w:val="0073337A"/>
    <w:rsid w:val="00735423"/>
    <w:rsid w:val="0073729D"/>
    <w:rsid w:val="007405D0"/>
    <w:rsid w:val="00740A00"/>
    <w:rsid w:val="00740ABE"/>
    <w:rsid w:val="00741176"/>
    <w:rsid w:val="00742142"/>
    <w:rsid w:val="00742E75"/>
    <w:rsid w:val="007430E8"/>
    <w:rsid w:val="00744F71"/>
    <w:rsid w:val="007450C0"/>
    <w:rsid w:val="007755E8"/>
    <w:rsid w:val="0077605A"/>
    <w:rsid w:val="0077613F"/>
    <w:rsid w:val="00797DE7"/>
    <w:rsid w:val="007A720F"/>
    <w:rsid w:val="007B6F40"/>
    <w:rsid w:val="007C14B9"/>
    <w:rsid w:val="007C5D2F"/>
    <w:rsid w:val="007D2D29"/>
    <w:rsid w:val="007D3992"/>
    <w:rsid w:val="007E15CC"/>
    <w:rsid w:val="007E38D6"/>
    <w:rsid w:val="007E5BB5"/>
    <w:rsid w:val="007E7484"/>
    <w:rsid w:val="007E7B9D"/>
    <w:rsid w:val="007F2796"/>
    <w:rsid w:val="007F485D"/>
    <w:rsid w:val="007F5A32"/>
    <w:rsid w:val="008047B7"/>
    <w:rsid w:val="00810347"/>
    <w:rsid w:val="00810A34"/>
    <w:rsid w:val="00810EE6"/>
    <w:rsid w:val="00822931"/>
    <w:rsid w:val="00823F62"/>
    <w:rsid w:val="008241EE"/>
    <w:rsid w:val="00824F0B"/>
    <w:rsid w:val="00825369"/>
    <w:rsid w:val="008309C7"/>
    <w:rsid w:val="00840B2B"/>
    <w:rsid w:val="008422BB"/>
    <w:rsid w:val="0084338F"/>
    <w:rsid w:val="00843599"/>
    <w:rsid w:val="0086440E"/>
    <w:rsid w:val="008665A9"/>
    <w:rsid w:val="00867299"/>
    <w:rsid w:val="00876644"/>
    <w:rsid w:val="008831A6"/>
    <w:rsid w:val="00885238"/>
    <w:rsid w:val="0088771C"/>
    <w:rsid w:val="008955EC"/>
    <w:rsid w:val="00896213"/>
    <w:rsid w:val="00897592"/>
    <w:rsid w:val="008A2519"/>
    <w:rsid w:val="008A3525"/>
    <w:rsid w:val="008B065F"/>
    <w:rsid w:val="008C2638"/>
    <w:rsid w:val="008C4E07"/>
    <w:rsid w:val="008D11CE"/>
    <w:rsid w:val="008D3B0F"/>
    <w:rsid w:val="008D78CA"/>
    <w:rsid w:val="008E0C54"/>
    <w:rsid w:val="008E2D32"/>
    <w:rsid w:val="008F0906"/>
    <w:rsid w:val="008F7582"/>
    <w:rsid w:val="0090114E"/>
    <w:rsid w:val="0090197F"/>
    <w:rsid w:val="00902E95"/>
    <w:rsid w:val="00906B18"/>
    <w:rsid w:val="00906C38"/>
    <w:rsid w:val="00907061"/>
    <w:rsid w:val="0091308D"/>
    <w:rsid w:val="00924237"/>
    <w:rsid w:val="0092550F"/>
    <w:rsid w:val="00930DBA"/>
    <w:rsid w:val="00932479"/>
    <w:rsid w:val="00932502"/>
    <w:rsid w:val="00935183"/>
    <w:rsid w:val="00935298"/>
    <w:rsid w:val="00935625"/>
    <w:rsid w:val="00935C7D"/>
    <w:rsid w:val="00940B11"/>
    <w:rsid w:val="00942257"/>
    <w:rsid w:val="00942853"/>
    <w:rsid w:val="00944E07"/>
    <w:rsid w:val="00952BC0"/>
    <w:rsid w:val="0095693C"/>
    <w:rsid w:val="00960334"/>
    <w:rsid w:val="00963043"/>
    <w:rsid w:val="00965456"/>
    <w:rsid w:val="00966B7C"/>
    <w:rsid w:val="009679DF"/>
    <w:rsid w:val="00972B05"/>
    <w:rsid w:val="00972F45"/>
    <w:rsid w:val="00973758"/>
    <w:rsid w:val="00975836"/>
    <w:rsid w:val="0098136D"/>
    <w:rsid w:val="0098378C"/>
    <w:rsid w:val="00996AF2"/>
    <w:rsid w:val="009A4881"/>
    <w:rsid w:val="009A6304"/>
    <w:rsid w:val="009C3008"/>
    <w:rsid w:val="009C3EC7"/>
    <w:rsid w:val="009C5677"/>
    <w:rsid w:val="009C7C6E"/>
    <w:rsid w:val="009D2EB6"/>
    <w:rsid w:val="009D4CF4"/>
    <w:rsid w:val="009D4ED6"/>
    <w:rsid w:val="009D60CA"/>
    <w:rsid w:val="009D62A6"/>
    <w:rsid w:val="009E1D09"/>
    <w:rsid w:val="009E5ABD"/>
    <w:rsid w:val="009E5F6D"/>
    <w:rsid w:val="009E71FF"/>
    <w:rsid w:val="009E7D8B"/>
    <w:rsid w:val="009F28BF"/>
    <w:rsid w:val="009F2FC2"/>
    <w:rsid w:val="00A033EA"/>
    <w:rsid w:val="00A066C9"/>
    <w:rsid w:val="00A06F37"/>
    <w:rsid w:val="00A16295"/>
    <w:rsid w:val="00A21388"/>
    <w:rsid w:val="00A21C3D"/>
    <w:rsid w:val="00A2373B"/>
    <w:rsid w:val="00A31E08"/>
    <w:rsid w:val="00A328A4"/>
    <w:rsid w:val="00A33D0D"/>
    <w:rsid w:val="00A362EB"/>
    <w:rsid w:val="00A406CD"/>
    <w:rsid w:val="00A45C0A"/>
    <w:rsid w:val="00A51165"/>
    <w:rsid w:val="00A51E03"/>
    <w:rsid w:val="00A55A62"/>
    <w:rsid w:val="00A70D1A"/>
    <w:rsid w:val="00A71BC7"/>
    <w:rsid w:val="00A724D9"/>
    <w:rsid w:val="00A729B0"/>
    <w:rsid w:val="00A73F8C"/>
    <w:rsid w:val="00A82648"/>
    <w:rsid w:val="00A833D2"/>
    <w:rsid w:val="00AA16F2"/>
    <w:rsid w:val="00AB1A13"/>
    <w:rsid w:val="00AB6594"/>
    <w:rsid w:val="00AC1604"/>
    <w:rsid w:val="00AC5A55"/>
    <w:rsid w:val="00AC6744"/>
    <w:rsid w:val="00AC6A67"/>
    <w:rsid w:val="00AC7576"/>
    <w:rsid w:val="00AD27E5"/>
    <w:rsid w:val="00AD6D27"/>
    <w:rsid w:val="00AE47CC"/>
    <w:rsid w:val="00AE50C7"/>
    <w:rsid w:val="00AE707A"/>
    <w:rsid w:val="00AE7B1A"/>
    <w:rsid w:val="00AF1174"/>
    <w:rsid w:val="00B007A7"/>
    <w:rsid w:val="00B00EE2"/>
    <w:rsid w:val="00B02825"/>
    <w:rsid w:val="00B04FDD"/>
    <w:rsid w:val="00B05928"/>
    <w:rsid w:val="00B0708C"/>
    <w:rsid w:val="00B07282"/>
    <w:rsid w:val="00B10E87"/>
    <w:rsid w:val="00B16FBA"/>
    <w:rsid w:val="00B22EF6"/>
    <w:rsid w:val="00B2420A"/>
    <w:rsid w:val="00B272A0"/>
    <w:rsid w:val="00B272A6"/>
    <w:rsid w:val="00B34AE3"/>
    <w:rsid w:val="00B35A15"/>
    <w:rsid w:val="00B43A39"/>
    <w:rsid w:val="00B456E9"/>
    <w:rsid w:val="00B459E2"/>
    <w:rsid w:val="00B47D5A"/>
    <w:rsid w:val="00B5011D"/>
    <w:rsid w:val="00B578FE"/>
    <w:rsid w:val="00B62859"/>
    <w:rsid w:val="00B656F2"/>
    <w:rsid w:val="00B66E52"/>
    <w:rsid w:val="00B67980"/>
    <w:rsid w:val="00B750D1"/>
    <w:rsid w:val="00B754E3"/>
    <w:rsid w:val="00B814FB"/>
    <w:rsid w:val="00B8177F"/>
    <w:rsid w:val="00B82633"/>
    <w:rsid w:val="00B90BDE"/>
    <w:rsid w:val="00B92441"/>
    <w:rsid w:val="00BA3EA8"/>
    <w:rsid w:val="00BA78E0"/>
    <w:rsid w:val="00BA7FC3"/>
    <w:rsid w:val="00BB0EE6"/>
    <w:rsid w:val="00BB0FC4"/>
    <w:rsid w:val="00BB287A"/>
    <w:rsid w:val="00BB312D"/>
    <w:rsid w:val="00BB363D"/>
    <w:rsid w:val="00BB5713"/>
    <w:rsid w:val="00BC427E"/>
    <w:rsid w:val="00BC50E4"/>
    <w:rsid w:val="00BD1C96"/>
    <w:rsid w:val="00BD45F8"/>
    <w:rsid w:val="00BE3314"/>
    <w:rsid w:val="00BE42A6"/>
    <w:rsid w:val="00BE5EEB"/>
    <w:rsid w:val="00BF39A4"/>
    <w:rsid w:val="00C030F6"/>
    <w:rsid w:val="00C07627"/>
    <w:rsid w:val="00C10BCA"/>
    <w:rsid w:val="00C1109F"/>
    <w:rsid w:val="00C16CDA"/>
    <w:rsid w:val="00C20F9E"/>
    <w:rsid w:val="00C21D57"/>
    <w:rsid w:val="00C229F1"/>
    <w:rsid w:val="00C26614"/>
    <w:rsid w:val="00C32A1F"/>
    <w:rsid w:val="00C35513"/>
    <w:rsid w:val="00C3748B"/>
    <w:rsid w:val="00C47CCA"/>
    <w:rsid w:val="00C50D18"/>
    <w:rsid w:val="00C524B8"/>
    <w:rsid w:val="00C63518"/>
    <w:rsid w:val="00C66DCD"/>
    <w:rsid w:val="00C765EA"/>
    <w:rsid w:val="00C86D90"/>
    <w:rsid w:val="00C9191D"/>
    <w:rsid w:val="00C9267B"/>
    <w:rsid w:val="00C94776"/>
    <w:rsid w:val="00C96157"/>
    <w:rsid w:val="00C96A7E"/>
    <w:rsid w:val="00CA1366"/>
    <w:rsid w:val="00CA1F09"/>
    <w:rsid w:val="00CA3477"/>
    <w:rsid w:val="00CA45BE"/>
    <w:rsid w:val="00CB1AA1"/>
    <w:rsid w:val="00CC1BD6"/>
    <w:rsid w:val="00CC1C61"/>
    <w:rsid w:val="00CD3137"/>
    <w:rsid w:val="00CD36F3"/>
    <w:rsid w:val="00CD40BA"/>
    <w:rsid w:val="00CD4DA0"/>
    <w:rsid w:val="00CE0330"/>
    <w:rsid w:val="00CE1DCA"/>
    <w:rsid w:val="00CE54FD"/>
    <w:rsid w:val="00CE57BF"/>
    <w:rsid w:val="00CE72CB"/>
    <w:rsid w:val="00CF040D"/>
    <w:rsid w:val="00CF2B34"/>
    <w:rsid w:val="00D024F6"/>
    <w:rsid w:val="00D04DE9"/>
    <w:rsid w:val="00D07F86"/>
    <w:rsid w:val="00D1164B"/>
    <w:rsid w:val="00D122D5"/>
    <w:rsid w:val="00D20CBF"/>
    <w:rsid w:val="00D23EF9"/>
    <w:rsid w:val="00D276F2"/>
    <w:rsid w:val="00D27C27"/>
    <w:rsid w:val="00D30814"/>
    <w:rsid w:val="00D466C6"/>
    <w:rsid w:val="00D534E2"/>
    <w:rsid w:val="00D563E8"/>
    <w:rsid w:val="00D619F3"/>
    <w:rsid w:val="00D639C5"/>
    <w:rsid w:val="00D652D2"/>
    <w:rsid w:val="00D711D0"/>
    <w:rsid w:val="00D72723"/>
    <w:rsid w:val="00D727AB"/>
    <w:rsid w:val="00D72FBC"/>
    <w:rsid w:val="00D73F69"/>
    <w:rsid w:val="00D8104F"/>
    <w:rsid w:val="00D81AC7"/>
    <w:rsid w:val="00D94756"/>
    <w:rsid w:val="00DA1E23"/>
    <w:rsid w:val="00DA2171"/>
    <w:rsid w:val="00DA2479"/>
    <w:rsid w:val="00DA7E1D"/>
    <w:rsid w:val="00DB4BD9"/>
    <w:rsid w:val="00DC1558"/>
    <w:rsid w:val="00DC5FB9"/>
    <w:rsid w:val="00DD0A5F"/>
    <w:rsid w:val="00DD1E17"/>
    <w:rsid w:val="00DE2BC6"/>
    <w:rsid w:val="00DE334F"/>
    <w:rsid w:val="00DE500C"/>
    <w:rsid w:val="00DF07C3"/>
    <w:rsid w:val="00DF2F9A"/>
    <w:rsid w:val="00DF33F2"/>
    <w:rsid w:val="00DF50D4"/>
    <w:rsid w:val="00E03069"/>
    <w:rsid w:val="00E06300"/>
    <w:rsid w:val="00E07243"/>
    <w:rsid w:val="00E072DD"/>
    <w:rsid w:val="00E07C83"/>
    <w:rsid w:val="00E161FD"/>
    <w:rsid w:val="00E17C62"/>
    <w:rsid w:val="00E215E0"/>
    <w:rsid w:val="00E229AF"/>
    <w:rsid w:val="00E3242F"/>
    <w:rsid w:val="00E324FB"/>
    <w:rsid w:val="00E33E0D"/>
    <w:rsid w:val="00E348C6"/>
    <w:rsid w:val="00E40A88"/>
    <w:rsid w:val="00E40F23"/>
    <w:rsid w:val="00E41330"/>
    <w:rsid w:val="00E413C0"/>
    <w:rsid w:val="00E445C8"/>
    <w:rsid w:val="00E4559A"/>
    <w:rsid w:val="00E47325"/>
    <w:rsid w:val="00E50F23"/>
    <w:rsid w:val="00E53FA8"/>
    <w:rsid w:val="00E60137"/>
    <w:rsid w:val="00E65523"/>
    <w:rsid w:val="00E72D33"/>
    <w:rsid w:val="00E7483C"/>
    <w:rsid w:val="00E75A36"/>
    <w:rsid w:val="00E7622E"/>
    <w:rsid w:val="00E820BB"/>
    <w:rsid w:val="00E82CA1"/>
    <w:rsid w:val="00E87F6C"/>
    <w:rsid w:val="00E911F3"/>
    <w:rsid w:val="00E94B06"/>
    <w:rsid w:val="00E95DEE"/>
    <w:rsid w:val="00E96D14"/>
    <w:rsid w:val="00EA2DCB"/>
    <w:rsid w:val="00EA3295"/>
    <w:rsid w:val="00EA3F10"/>
    <w:rsid w:val="00EA502A"/>
    <w:rsid w:val="00EA7FEF"/>
    <w:rsid w:val="00EB2049"/>
    <w:rsid w:val="00EB6180"/>
    <w:rsid w:val="00EC13D6"/>
    <w:rsid w:val="00EC1DAF"/>
    <w:rsid w:val="00EC2B67"/>
    <w:rsid w:val="00ED20FD"/>
    <w:rsid w:val="00ED587E"/>
    <w:rsid w:val="00EE1B06"/>
    <w:rsid w:val="00EE7C87"/>
    <w:rsid w:val="00EF1F81"/>
    <w:rsid w:val="00EF26C9"/>
    <w:rsid w:val="00EF283D"/>
    <w:rsid w:val="00F00B2B"/>
    <w:rsid w:val="00F03AAA"/>
    <w:rsid w:val="00F07FF4"/>
    <w:rsid w:val="00F14335"/>
    <w:rsid w:val="00F17222"/>
    <w:rsid w:val="00F21CF2"/>
    <w:rsid w:val="00F3296B"/>
    <w:rsid w:val="00F33351"/>
    <w:rsid w:val="00F41987"/>
    <w:rsid w:val="00F44579"/>
    <w:rsid w:val="00F52358"/>
    <w:rsid w:val="00F52B07"/>
    <w:rsid w:val="00F562CC"/>
    <w:rsid w:val="00F579C6"/>
    <w:rsid w:val="00F6069F"/>
    <w:rsid w:val="00F608E7"/>
    <w:rsid w:val="00F6465F"/>
    <w:rsid w:val="00F64C71"/>
    <w:rsid w:val="00F72329"/>
    <w:rsid w:val="00F74E51"/>
    <w:rsid w:val="00F777D0"/>
    <w:rsid w:val="00F91211"/>
    <w:rsid w:val="00F942B2"/>
    <w:rsid w:val="00F94AB6"/>
    <w:rsid w:val="00F96C2E"/>
    <w:rsid w:val="00FA1FBA"/>
    <w:rsid w:val="00FA28E7"/>
    <w:rsid w:val="00FA576C"/>
    <w:rsid w:val="00FB1178"/>
    <w:rsid w:val="00FD0F89"/>
    <w:rsid w:val="00FD2BD3"/>
    <w:rsid w:val="00FD3643"/>
    <w:rsid w:val="00FE2DB1"/>
    <w:rsid w:val="00FE3D49"/>
    <w:rsid w:val="00FF0ADC"/>
    <w:rsid w:val="00FF3279"/>
    <w:rsid w:val="00FF422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40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4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A40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B0F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6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6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40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4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A40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B0F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6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6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144C-269A-4F8A-B1CA-76D3C380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Софьичева Светлана Олеговна</dc:creator>
  <cp:lastModifiedBy>Ненашева Александра Андреевна</cp:lastModifiedBy>
  <cp:revision>5</cp:revision>
  <cp:lastPrinted>2023-08-17T10:08:00Z</cp:lastPrinted>
  <dcterms:created xsi:type="dcterms:W3CDTF">2023-08-17T11:58:00Z</dcterms:created>
  <dcterms:modified xsi:type="dcterms:W3CDTF">2023-10-02T11:35:00Z</dcterms:modified>
</cp:coreProperties>
</file>